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680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d415904e-d713-4c0f-85b9-f0fc7da9f072"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a459302c-2135-426b-9eef-71fb8dcd979a" w:id="2"/>
      <w:r>
        <w:rPr>
          <w:rFonts w:ascii="Times New Roman" w:hAnsi="Times New Roman"/>
          <w:b/>
          <w:i w:val="false"/>
          <w:color w:val="000000"/>
          <w:sz w:val="28"/>
        </w:rPr>
        <w:t>Комитет по образованию Тарского муниципального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1460524)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10468038" w:id="5"/>
    <w:p>
      <w:pPr>
        <w:sectPr>
          <w:pgSz w:w="11906" w:h="16383" w:orient="portrait"/>
        </w:sectPr>
      </w:pPr>
    </w:p>
    <w:bookmarkEnd w:id="5"/>
    <w:bookmarkEnd w:id="0"/>
    <w:bookmarkStart w:name="block-10468039"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10468039" w:id="8"/>
    <w:p>
      <w:pPr>
        <w:sectPr>
          <w:pgSz w:w="11906" w:h="16383" w:orient="portrait"/>
        </w:sectPr>
      </w:pPr>
    </w:p>
    <w:bookmarkEnd w:id="8"/>
    <w:bookmarkEnd w:id="6"/>
    <w:bookmarkStart w:name="block-1046804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10468040" w:id="10"/>
    <w:p>
      <w:pPr>
        <w:sectPr>
          <w:pgSz w:w="11906" w:h="16383" w:orient="portrait"/>
        </w:sectPr>
      </w:pPr>
    </w:p>
    <w:bookmarkEnd w:id="10"/>
    <w:bookmarkEnd w:id="9"/>
    <w:bookmarkStart w:name="block-1046804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10468041" w:id="12"/>
    <w:p>
      <w:pPr>
        <w:sectPr>
          <w:pgSz w:w="11906" w:h="16383" w:orient="portrait"/>
        </w:sectPr>
      </w:pPr>
    </w:p>
    <w:bookmarkEnd w:id="12"/>
    <w:bookmarkEnd w:id="11"/>
    <w:bookmarkStart w:name="block-1046804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10468042" w:id="14"/>
    <w:p>
      <w:pPr>
        <w:sectPr>
          <w:pgSz w:w="16383" w:h="11906" w:orient="landscape"/>
        </w:sectPr>
      </w:pPr>
    </w:p>
    <w:bookmarkEnd w:id="14"/>
    <w:bookmarkEnd w:id="13"/>
    <w:bookmarkStart w:name="block-1046804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68043" w:id="16"/>
    <w:p>
      <w:pPr>
        <w:sectPr>
          <w:pgSz w:w="16383" w:h="11906" w:orient="landscape"/>
        </w:sectPr>
      </w:pPr>
    </w:p>
    <w:bookmarkEnd w:id="16"/>
    <w:bookmarkEnd w:id="15"/>
    <w:bookmarkStart w:name="block-1046804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6804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